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3F" w:rsidRPr="00FE295C" w:rsidRDefault="007122E6" w:rsidP="00DF6748">
      <w:pPr>
        <w:pStyle w:val="1"/>
        <w:spacing w:line="240" w:lineRule="auto"/>
        <w:jc w:val="center"/>
      </w:pPr>
      <w:bookmarkStart w:id="0" w:name="_GoBack"/>
      <w:bookmarkEnd w:id="0"/>
      <w:r w:rsidRPr="00FE295C">
        <w:t>Сводка отзывов</w:t>
      </w:r>
    </w:p>
    <w:p w:rsidR="00F52ED4" w:rsidRPr="00FE295C" w:rsidRDefault="007122E6" w:rsidP="00DF6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95C">
        <w:rPr>
          <w:rFonts w:ascii="Times New Roman" w:hAnsi="Times New Roman" w:cs="Times New Roman"/>
          <w:b/>
          <w:sz w:val="28"/>
          <w:szCs w:val="28"/>
        </w:rPr>
        <w:t xml:space="preserve">по вопросу </w:t>
      </w:r>
      <w:r w:rsidR="00F52ED4" w:rsidRPr="00FE295C">
        <w:rPr>
          <w:rFonts w:ascii="Times New Roman" w:hAnsi="Times New Roman" w:cs="Times New Roman"/>
          <w:b/>
          <w:sz w:val="28"/>
          <w:szCs w:val="28"/>
        </w:rPr>
        <w:t>развития и совершенствования деятельности МГС в части аккредитации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85"/>
        <w:gridCol w:w="9148"/>
        <w:gridCol w:w="2345"/>
      </w:tblGrid>
      <w:tr w:rsidR="00CB6290" w:rsidRPr="00744DF3" w:rsidTr="00056F6A">
        <w:tc>
          <w:tcPr>
            <w:tcW w:w="675" w:type="dxa"/>
          </w:tcPr>
          <w:p w:rsidR="00CB6290" w:rsidRPr="00744DF3" w:rsidRDefault="00CB6290" w:rsidP="001D10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CB6290" w:rsidRPr="00744DF3" w:rsidRDefault="00CB6290" w:rsidP="001D10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F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9148" w:type="dxa"/>
          </w:tcPr>
          <w:p w:rsidR="00CB6290" w:rsidRPr="00744DF3" w:rsidRDefault="00CB6290" w:rsidP="001D1047">
            <w:pPr>
              <w:spacing w:line="276" w:lineRule="auto"/>
              <w:ind w:firstLine="5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F3">
              <w:rPr>
                <w:rFonts w:ascii="Times New Roman" w:hAnsi="Times New Roman" w:cs="Times New Roman"/>
                <w:sz w:val="24"/>
                <w:szCs w:val="24"/>
              </w:rPr>
              <w:t>Предложения/позиция</w:t>
            </w:r>
          </w:p>
        </w:tc>
        <w:tc>
          <w:tcPr>
            <w:tcW w:w="2345" w:type="dxa"/>
          </w:tcPr>
          <w:p w:rsidR="00CB6290" w:rsidRPr="00744DF3" w:rsidRDefault="00CB6290" w:rsidP="001D10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F3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721E46" w:rsidRPr="00FB132C" w:rsidTr="00E67766">
        <w:trPr>
          <w:trHeight w:val="8763"/>
        </w:trPr>
        <w:tc>
          <w:tcPr>
            <w:tcW w:w="675" w:type="dxa"/>
          </w:tcPr>
          <w:p w:rsidR="00721E46" w:rsidRPr="00FB132C" w:rsidRDefault="00721E46" w:rsidP="009A1AC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721E46" w:rsidRDefault="00721E46" w:rsidP="009A1AC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32C">
              <w:rPr>
                <w:rFonts w:ascii="Times New Roman" w:hAnsi="Times New Roman" w:cs="Times New Roman"/>
                <w:sz w:val="28"/>
                <w:szCs w:val="28"/>
              </w:rPr>
              <w:t>Республика</w:t>
            </w:r>
          </w:p>
          <w:p w:rsidR="00721E46" w:rsidRPr="00FB132C" w:rsidRDefault="00721E46" w:rsidP="009A1AC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Беларусь </w:t>
            </w:r>
          </w:p>
        </w:tc>
        <w:tc>
          <w:tcPr>
            <w:tcW w:w="9148" w:type="dxa"/>
          </w:tcPr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В рамках выполнения пункта 1.5 протокола Внеочередного совещания руководителей национальных органов по стандартизации, метрологии и сертификации (ВС МГС № 2-2016) направляем предложения по развитию и совершенствованию деятельности МГС по направлению аккредитация.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В соответствии с Договором о зоне свободной торговли от 18 октября 2011 года (статья 11) «...Стороны осуществляют сотрудничество в области стандартизации, метрологии, оценки (подтверждения) соответствия, аккредитации, государственного контроля (надзора) в рамках МГС на основе Соглашения о проведении согласованной политики в области стандартизации, метрологии и сертификации от 13 марта 1992 года».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Аккредитация является одним из механизмов признания результатов оценки соответствия, считаем целесообразным рассматривать данное направление деятельности МГС в неразрывной связи с направлением оценка соответствия.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В настоящее время существует ряд проблем при реализации Договора о зоне свободной торговли, связанных с отсутствием демонстрируемых оснований для признания результатов оценки соответствия, применением декларативного подхода, наличием существенных различий в процедурах аккредитации и оценки соответствия. С целью устранения данных проблем считаем необходимым реализовать стратегические задачи МГС по направлению аккредитация (Приложение №1 к протоколу ВС МГС №2-2016):</w:t>
            </w:r>
            <w:r w:rsidRPr="00F52ED4">
              <w:rPr>
                <w:sz w:val="22"/>
                <w:szCs w:val="22"/>
              </w:rPr>
              <w:br w:type="page"/>
            </w:r>
          </w:p>
          <w:p w:rsidR="00721E46" w:rsidRPr="00F52ED4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организация взаимных оценок органов по аккредитации;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выработка единых критериев аккредитации органов по оценке соответствия;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after="68"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обеспечение сопоставимости процедур аккредитации и оценки соответствия.</w:t>
            </w:r>
          </w:p>
          <w:p w:rsidR="00721E46" w:rsidRPr="003946B1" w:rsidRDefault="00721E46" w:rsidP="009A1ACE">
            <w:pPr>
              <w:pStyle w:val="11"/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С целью активизации работ по направлению аккредитация в рамках МГС, а также</w:t>
            </w:r>
            <w:r w:rsidRPr="003946B1">
              <w:rPr>
                <w:sz w:val="20"/>
                <w:szCs w:val="20"/>
              </w:rPr>
              <w:tab/>
              <w:t>для реализации поставленных стратегических задач считаем</w:t>
            </w:r>
          </w:p>
          <w:p w:rsidR="00721E46" w:rsidRPr="003946B1" w:rsidRDefault="00721E46" w:rsidP="009A1ACE">
            <w:pPr>
              <w:pStyle w:val="11"/>
              <w:shd w:val="clear" w:color="auto" w:fill="auto"/>
              <w:spacing w:after="56" w:line="240" w:lineRule="auto"/>
              <w:ind w:left="20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необходимым: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обеспечить представительство органов по аккредитации в НТК по аккредитации;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развивать национальное законодательство в соответствии с международными правилами и стандартами во избежание противоречий в национальных требованиях и с целью региональной гармонизации в сферах аккредитации и оценки соответствия;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обеспечить проведение взаимных оценок органов по аккредитации;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обеспечить выполнение Программы работ Рабочей группы по созданию региональной организации (ассоциации) органов по аккредитации;</w:t>
            </w:r>
          </w:p>
          <w:p w:rsidR="00721E46" w:rsidRPr="00F52ED4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after="64"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3946B1">
              <w:rPr>
                <w:sz w:val="20"/>
                <w:szCs w:val="20"/>
              </w:rPr>
              <w:t>создать межгосударственный технический комитет по вопросу разработки стандартов ГОСТ, правил ПМГ и руководств РМГ в сфере аккредитации (в</w:t>
            </w:r>
            <w:r w:rsidRPr="00F52ED4">
              <w:rPr>
                <w:sz w:val="22"/>
                <w:szCs w:val="22"/>
              </w:rPr>
              <w:t xml:space="preserve"> соответствии с ГОСТ 1.2-2015).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lastRenderedPageBreak/>
              <w:t>Также считаем целесообразным доработать Соглашение о проведении согласованной политики в области стандартизации, метрологии и сертификации от 13 марта 1992 года (далее - Соглашение) в части аккредитации.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При принятии руководителями национальных органов государст</w:t>
            </w:r>
            <w:proofErr w:type="gramStart"/>
            <w:r w:rsidRPr="00F52ED4">
              <w:rPr>
                <w:sz w:val="22"/>
                <w:szCs w:val="22"/>
              </w:rPr>
              <w:t>в-</w:t>
            </w:r>
            <w:proofErr w:type="gramEnd"/>
            <w:r w:rsidRPr="00F52ED4">
              <w:rPr>
                <w:sz w:val="22"/>
                <w:szCs w:val="22"/>
              </w:rPr>
              <w:t xml:space="preserve"> участников Соглашения решения об изменении структуры МГС считаем целесообразным рассмотреть возможность создания в рамках МГС Советов руководителей по всем направлениям деятельности МГС (проект структуры прилагается). Структурные элементы Совета руководителей органов по стандартизации и Совета руководителей органов по метрологии указаны условно, так как данные сферы не являются сферой компетенции БГЦА.</w:t>
            </w:r>
          </w:p>
          <w:p w:rsidR="00721E46" w:rsidRPr="003946B1" w:rsidRDefault="00721E46" w:rsidP="009A1ACE">
            <w:pPr>
              <w:pStyle w:val="11"/>
              <w:shd w:val="clear" w:color="auto" w:fill="auto"/>
              <w:spacing w:after="53"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 xml:space="preserve">В соответствии с ранее разработанным Положением о Совете руководителей национальных органов по аккредитации основными направлениями деятельности </w:t>
            </w:r>
            <w:r w:rsidRPr="003946B1">
              <w:rPr>
                <w:rStyle w:val="BodytextItalic"/>
                <w:sz w:val="20"/>
                <w:szCs w:val="20"/>
              </w:rPr>
              <w:t xml:space="preserve">Совета руководителей органов по аккредитации </w:t>
            </w:r>
            <w:r w:rsidRPr="003946B1">
              <w:rPr>
                <w:sz w:val="20"/>
                <w:szCs w:val="20"/>
              </w:rPr>
              <w:t>могут быть: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обсуждение результатов взаимных оценок органов по аккредитации и принятие решения по ним;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определение приоритетных направлений в сфере аккредитации государств-участников Совета;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содействие сближению и гармонизации законодательств государств-участников Совета;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координация практического взаимодействия национальных органов по аккредитации, органов по оценке соответствия и иных заинтересованных сторон по основным аспектам политики в сфере аккредитации;</w:t>
            </w:r>
          </w:p>
          <w:p w:rsidR="00721E46" w:rsidRPr="003946B1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</w:tabs>
              <w:spacing w:after="64"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содействие реализации принятых межгосударственных и межправительственных решений в сфере аккредитации государств-участников Совета.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 xml:space="preserve">Рабочим органом МГС по направлению аккредитация является </w:t>
            </w:r>
            <w:r w:rsidRPr="00F52ED4">
              <w:rPr>
                <w:rStyle w:val="BodytextItalic"/>
                <w:sz w:val="22"/>
                <w:szCs w:val="22"/>
              </w:rPr>
              <w:t>НТК по аккредитации,</w:t>
            </w:r>
            <w:r w:rsidRPr="00F52ED4">
              <w:rPr>
                <w:sz w:val="22"/>
                <w:szCs w:val="22"/>
              </w:rPr>
              <w:t xml:space="preserve"> которая несет ответственность за выработку предложений и рекомендаций по формированию согласованной научно-технической политики и координации работ по аккредитации (Положение о Научно-технической комиссии по аккредитации). К основным функциям НКТ по аккредитации считаем необходимым добавить рассмотрение ПМГ и РМГ в сфере аккредитации.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tabs>
                <w:tab w:val="right" w:pos="6470"/>
                <w:tab w:val="left" w:pos="6744"/>
              </w:tabs>
              <w:spacing w:line="240" w:lineRule="auto"/>
              <w:ind w:lef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rStyle w:val="BodytextItalic"/>
                <w:sz w:val="22"/>
                <w:szCs w:val="22"/>
              </w:rPr>
              <w:t>Экспертный Совет оценщиков:</w:t>
            </w:r>
            <w:r w:rsidRPr="00F52ED4">
              <w:rPr>
                <w:sz w:val="22"/>
                <w:szCs w:val="22"/>
              </w:rPr>
              <w:tab/>
              <w:t>необходим</w:t>
            </w:r>
            <w:r w:rsidRPr="00F52ED4">
              <w:rPr>
                <w:sz w:val="22"/>
                <w:szCs w:val="22"/>
              </w:rPr>
              <w:tab/>
              <w:t>для целей выработки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 xml:space="preserve">методологии проведения паритетных оценок органов по аккредитации на соответствие требованиям ГОСТ ИСО/МЭК 17011, обязательных руководств </w:t>
            </w:r>
            <w:r w:rsidRPr="00F52ED4">
              <w:rPr>
                <w:sz w:val="22"/>
                <w:szCs w:val="22"/>
                <w:lang w:val="en-US"/>
              </w:rPr>
              <w:t>ILAC</w:t>
            </w:r>
            <w:r w:rsidRPr="00F52ED4">
              <w:rPr>
                <w:sz w:val="22"/>
                <w:szCs w:val="22"/>
              </w:rPr>
              <w:t xml:space="preserve"> и </w:t>
            </w:r>
            <w:r w:rsidRPr="00F52ED4">
              <w:rPr>
                <w:sz w:val="22"/>
                <w:szCs w:val="22"/>
                <w:lang w:val="en-US"/>
              </w:rPr>
              <w:t>IAF</w:t>
            </w:r>
            <w:r w:rsidRPr="00F52ED4">
              <w:rPr>
                <w:sz w:val="22"/>
                <w:szCs w:val="22"/>
              </w:rPr>
              <w:t>, а также для целей обучения оценщиков, подготовки форм документов, используемых оценщиками, ведения баз данных оценщиков (записи об опыте и компетентности), разработки ПМГ и РМГ и др.</w:t>
            </w:r>
          </w:p>
          <w:p w:rsidR="00721E46" w:rsidRPr="00F52ED4" w:rsidRDefault="00721E46" w:rsidP="009A1ACE">
            <w:pPr>
              <w:pStyle w:val="Bodytext60"/>
              <w:shd w:val="clear" w:color="auto" w:fill="auto"/>
              <w:spacing w:line="240" w:lineRule="auto"/>
              <w:ind w:left="20" w:right="20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Экспертный совет испытательных лабораторий (ИЛ)</w:t>
            </w:r>
            <w:r w:rsidRPr="00F52ED4">
              <w:rPr>
                <w:rStyle w:val="Bodytext6NotItalic"/>
                <w:sz w:val="22"/>
                <w:szCs w:val="22"/>
              </w:rPr>
              <w:t xml:space="preserve"> необходим для целей:</w:t>
            </w:r>
          </w:p>
          <w:p w:rsidR="00721E46" w:rsidRPr="00F52ED4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</w:tabs>
              <w:spacing w:line="240" w:lineRule="auto"/>
              <w:ind w:lef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выработки единых подходов по реализации требований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tabs>
                <w:tab w:val="left" w:pos="3875"/>
                <w:tab w:val="left" w:pos="5349"/>
              </w:tabs>
              <w:spacing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основополагающего стандарта (ИСО/МЭК 17025) в различных сферах: неразрушающий контроль,</w:t>
            </w:r>
            <w:r w:rsidRPr="00F52ED4">
              <w:rPr>
                <w:sz w:val="22"/>
                <w:szCs w:val="22"/>
              </w:rPr>
              <w:tab/>
              <w:t>сенсорные</w:t>
            </w:r>
            <w:r w:rsidRPr="00F52ED4">
              <w:rPr>
                <w:sz w:val="22"/>
                <w:szCs w:val="22"/>
              </w:rPr>
              <w:tab/>
              <w:t>испытания, микробиологические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 xml:space="preserve">испытания, медицинские исследования и др. с учетом обязательных требований политик </w:t>
            </w:r>
            <w:r w:rsidRPr="00F52ED4">
              <w:rPr>
                <w:sz w:val="22"/>
                <w:szCs w:val="22"/>
                <w:lang w:val="en-US"/>
              </w:rPr>
              <w:lastRenderedPageBreak/>
              <w:t>ILAC</w:t>
            </w:r>
            <w:r w:rsidRPr="00F52ED4">
              <w:rPr>
                <w:sz w:val="22"/>
                <w:szCs w:val="22"/>
              </w:rPr>
              <w:t>.</w:t>
            </w:r>
          </w:p>
          <w:p w:rsidR="00721E46" w:rsidRPr="00F52ED4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  <w:tab w:val="left" w:pos="3875"/>
                <w:tab w:val="left" w:pos="5349"/>
              </w:tabs>
              <w:spacing w:line="240" w:lineRule="auto"/>
              <w:ind w:lef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представления</w:t>
            </w:r>
            <w:r w:rsidRPr="00F52ED4">
              <w:rPr>
                <w:sz w:val="22"/>
                <w:szCs w:val="22"/>
              </w:rPr>
              <w:tab/>
              <w:t>проектов</w:t>
            </w:r>
            <w:r w:rsidRPr="00F52ED4">
              <w:rPr>
                <w:sz w:val="22"/>
                <w:szCs w:val="22"/>
              </w:rPr>
              <w:tab/>
              <w:t>соответствующих документов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after="56"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(рекомендаций, руководств) для рассмотрения НТК по аккредитации (при необходимости НТК по метрологии, оценке соответствия и стандартизации) и Советом руководителей органов по аккредитации (при необходимости Советом руководителей органов по стандартизации, Советом органов по метрологии).</w:t>
            </w:r>
          </w:p>
          <w:p w:rsidR="00721E46" w:rsidRPr="00F52ED4" w:rsidRDefault="00721E46" w:rsidP="009A1ACE">
            <w:pPr>
              <w:pStyle w:val="Bodytext60"/>
              <w:shd w:val="clear" w:color="auto" w:fill="auto"/>
              <w:spacing w:after="64" w:line="240" w:lineRule="auto"/>
              <w:ind w:left="20" w:right="20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Экспертный совет калибровочных лабораторий (КЛ)</w:t>
            </w:r>
            <w:r w:rsidRPr="00F52ED4">
              <w:rPr>
                <w:rStyle w:val="Bodytext6NotItalic"/>
                <w:sz w:val="22"/>
                <w:szCs w:val="22"/>
              </w:rPr>
              <w:t xml:space="preserve"> необходим для целей:</w:t>
            </w:r>
          </w:p>
          <w:p w:rsidR="00721E46" w:rsidRPr="00F52ED4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</w:tabs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 xml:space="preserve">выработки единых подходов по реализации требований основополагающего стандарта (ИСО/МЭК 17025) в различных сферах калибровки с учетом обязательных требований политик </w:t>
            </w:r>
            <w:r w:rsidRPr="00F52ED4">
              <w:rPr>
                <w:sz w:val="22"/>
                <w:szCs w:val="22"/>
                <w:lang w:val="en-US"/>
              </w:rPr>
              <w:t>ILAC</w:t>
            </w:r>
            <w:r w:rsidRPr="00F52ED4">
              <w:rPr>
                <w:sz w:val="22"/>
                <w:szCs w:val="22"/>
              </w:rPr>
              <w:t xml:space="preserve"> и руководств </w:t>
            </w:r>
            <w:r w:rsidRPr="00F52ED4">
              <w:rPr>
                <w:sz w:val="22"/>
                <w:szCs w:val="22"/>
                <w:lang w:val="en-US"/>
              </w:rPr>
              <w:t>BIPM</w:t>
            </w:r>
            <w:r w:rsidRPr="00F52ED4">
              <w:rPr>
                <w:sz w:val="22"/>
                <w:szCs w:val="22"/>
              </w:rPr>
              <w:t xml:space="preserve"> по неопределенности и прослеживаемости результатов измерений и др.</w:t>
            </w:r>
          </w:p>
          <w:p w:rsidR="00721E46" w:rsidRPr="00F52ED4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  <w:tab w:val="left" w:pos="3875"/>
                <w:tab w:val="left" w:pos="5349"/>
              </w:tabs>
              <w:spacing w:line="240" w:lineRule="auto"/>
              <w:ind w:lef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представления</w:t>
            </w:r>
            <w:r w:rsidRPr="00F52ED4">
              <w:rPr>
                <w:sz w:val="22"/>
                <w:szCs w:val="22"/>
              </w:rPr>
              <w:tab/>
              <w:t>проектов</w:t>
            </w:r>
            <w:r w:rsidRPr="00F52ED4">
              <w:rPr>
                <w:sz w:val="22"/>
                <w:szCs w:val="22"/>
              </w:rPr>
              <w:tab/>
              <w:t>соответствующих документов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(рекомендаций, руководств) для рассмотрения НТК по аккредитации (при необходимости НТК по метрологии, оценке соответствия и стандартизации) и Советом руководителей органов по аккредитации (при необходимости Советом руководителей органов по стандартизации, Советом органов по метрологии).</w:t>
            </w:r>
          </w:p>
          <w:p w:rsidR="00721E46" w:rsidRPr="00F52ED4" w:rsidRDefault="00721E46" w:rsidP="009A1ACE">
            <w:pPr>
              <w:pStyle w:val="Bodytext60"/>
              <w:shd w:val="clear" w:color="auto" w:fill="auto"/>
              <w:spacing w:after="0" w:line="240" w:lineRule="auto"/>
              <w:ind w:left="20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Экспертный совет органов по сертификации (ОС)</w:t>
            </w:r>
            <w:r w:rsidRPr="00F52ED4">
              <w:rPr>
                <w:rStyle w:val="Bodytext6NotItalic"/>
                <w:sz w:val="22"/>
                <w:szCs w:val="22"/>
              </w:rPr>
              <w:t xml:space="preserve"> необходим для целей:</w:t>
            </w:r>
          </w:p>
          <w:p w:rsidR="00721E46" w:rsidRPr="00F52ED4" w:rsidRDefault="00721E46" w:rsidP="009A1ACE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0"/>
              </w:tabs>
              <w:spacing w:line="240" w:lineRule="auto"/>
              <w:ind w:lef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выработки единых подходов по реализации требований</w:t>
            </w:r>
          </w:p>
          <w:p w:rsidR="00721E46" w:rsidRDefault="00721E46" w:rsidP="009A1ACE">
            <w:pPr>
              <w:pStyle w:val="11"/>
              <w:shd w:val="clear" w:color="auto" w:fill="auto"/>
              <w:spacing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 xml:space="preserve">основополагающих стандартов (ИСО/МЭК 17021-1, ИСО/МЭК 17021-2, ИСО/МЭК 17021-3, ИСО/МЭК 17024, ИСО/МЭК 17065), требований обязательных документов </w:t>
            </w:r>
            <w:r w:rsidRPr="00F52ED4">
              <w:rPr>
                <w:sz w:val="22"/>
                <w:szCs w:val="22"/>
                <w:lang w:val="en-US"/>
              </w:rPr>
              <w:t>IAF</w:t>
            </w:r>
            <w:r w:rsidRPr="00F52ED4">
              <w:rPr>
                <w:sz w:val="22"/>
                <w:szCs w:val="22"/>
              </w:rPr>
              <w:t>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представления проектов соответствующих документов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after="60"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(рекомендаций, руководств) для рассмотрения НТК по аккредитации (при необходимости НТК по метрологии, оценке соответствия и стандартизации) и Советом руководителей органов по аккредитации (при необходимости Советом руководителей органов по стандартизации, Советом органов по метрологии).</w:t>
            </w:r>
          </w:p>
          <w:p w:rsidR="00721E46" w:rsidRPr="00F52ED4" w:rsidRDefault="00721E46" w:rsidP="009A1ACE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rStyle w:val="BodytextItalic"/>
                <w:sz w:val="22"/>
                <w:szCs w:val="22"/>
              </w:rPr>
              <w:t>Экспертные советы</w:t>
            </w:r>
            <w:r w:rsidRPr="00F52ED4">
              <w:rPr>
                <w:sz w:val="22"/>
                <w:szCs w:val="22"/>
              </w:rPr>
              <w:t xml:space="preserve"> из числа аккредитованных органов по оценке соответствия государств-подписантов Соглашения о взаимном признании аккредитации органов по оценке соответствия позволят обеспечить непосредственную связь с промышленными предприятиями и субъектами хозяйствования, задействованными во взаимных поставках продукции в государствах-участниках СНГ.</w:t>
            </w:r>
          </w:p>
          <w:p w:rsidR="00721E46" w:rsidRDefault="00721E46" w:rsidP="003946B1">
            <w:pPr>
              <w:ind w:firstLine="535"/>
              <w:contextualSpacing/>
              <w:jc w:val="both"/>
              <w:rPr>
                <w:rFonts w:ascii="Times New Roman" w:hAnsi="Times New Roman" w:cs="Times New Roman"/>
              </w:rPr>
            </w:pPr>
            <w:r w:rsidRPr="00F52ED4">
              <w:rPr>
                <w:rFonts w:ascii="Times New Roman" w:hAnsi="Times New Roman" w:cs="Times New Roman"/>
              </w:rPr>
              <w:t xml:space="preserve">По вопросу деятельности Бюро в части организации и проведения мероприятий МГС считаем целесообразным изучение и внедрение практики Европейской организации по аккредитации (ЕА). Проведение конкретного заседания поручается конкретному члену ЕА (по предложениям сторон с соблюдением принципа ротации), который заблаговременно подсчитывает расходы на 1 участника при проведении мероприятия и устанавливает исходя из этой суммы взнос за участие в заседании. Таким образом, принимающая сторона выполняет лишь организационную роль и не несет никаких чрезмерных расходов, связанных с организацией мероприятия. Данный подход БГЦА считает экономически обоснованным, </w:t>
            </w:r>
            <w:r w:rsidRPr="00F52ED4">
              <w:rPr>
                <w:rFonts w:ascii="Times New Roman" w:hAnsi="Times New Roman" w:cs="Times New Roman"/>
              </w:rPr>
              <w:lastRenderedPageBreak/>
              <w:t>наиболее предпочтительным для всех участвующих сторон.</w:t>
            </w:r>
          </w:p>
          <w:p w:rsidR="00E67766" w:rsidRPr="00F52ED4" w:rsidRDefault="00E67766" w:rsidP="003946B1">
            <w:pPr>
              <w:ind w:firstLine="535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21E46" w:rsidRDefault="00721E46" w:rsidP="003946B1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на имя С.В. Шипова от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Белорусского государственного центра аккредитации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марта 2016 г. № 01-16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/16-01/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2064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, подписал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Т.А. Николаева)</w:t>
            </w:r>
          </w:p>
          <w:p w:rsidR="00694BC8" w:rsidRPr="00F52ED4" w:rsidRDefault="00694BC8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В соответствии с Договором о зоне свободной торговли от 18 октября 2011 года (статья 11) «...Стороны осуществляют сотрудничество в области стандартизации, метрологии, оценки (подтверждения) соответствия, аккредитации, государственного контроля (надзора) в рамках МГС на основе Соглашения о проведении согласованной политики в области стандартизации, метрологии и сертификации от 13 марта 1992 года».</w:t>
            </w:r>
          </w:p>
          <w:p w:rsidR="00694BC8" w:rsidRPr="00F52ED4" w:rsidRDefault="00694BC8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Аккредитация является одним из механизмов признания результатов оценки соответствия, считаем целесообразным рассматривать данное направление деятельности МГС в неразрывной связи с направлением оценка соответствия.</w:t>
            </w:r>
          </w:p>
          <w:p w:rsidR="00694BC8" w:rsidRPr="00F52ED4" w:rsidRDefault="00694BC8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В настоящее время существует ряд проблем при реализации Договора о зоне свободной торговли, связанных с отсутствием демонстрируемых оснований для признания результатов оценки соответствия, применением декларативного подхода, наличием существенных различий в процедурах аккредитации и оценки соответствия. С целью устранения данных проблем считаем необходимым реализовать стратегические задачи МГС по направлению аккредитация (Приложение №1 к протоколу ВС МГС №2-2016):</w:t>
            </w:r>
            <w:r w:rsidRPr="00F52ED4">
              <w:rPr>
                <w:sz w:val="22"/>
                <w:szCs w:val="22"/>
              </w:rPr>
              <w:br w:type="page"/>
            </w:r>
          </w:p>
          <w:p w:rsidR="00694BC8" w:rsidRPr="00F52ED4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организация взаимных оценок органов по аккредитации;</w:t>
            </w:r>
          </w:p>
          <w:p w:rsidR="00694BC8" w:rsidRPr="003946B1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выработка единых критериев аккредитации органов по оценке соответствия;</w:t>
            </w:r>
          </w:p>
          <w:p w:rsidR="00694BC8" w:rsidRPr="003946B1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after="68"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обеспечение сопоставимости процедур аккредитации и оценки соответствия.</w:t>
            </w:r>
          </w:p>
          <w:p w:rsidR="00694BC8" w:rsidRPr="003946B1" w:rsidRDefault="00694BC8" w:rsidP="00694BC8">
            <w:pPr>
              <w:pStyle w:val="11"/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С целью активизации работ по направлению аккредитация в рамках МГС, а также</w:t>
            </w:r>
            <w:r w:rsidRPr="003946B1">
              <w:rPr>
                <w:sz w:val="20"/>
                <w:szCs w:val="20"/>
              </w:rPr>
              <w:tab/>
              <w:t>для реализации поставленных стратегических задач считаем</w:t>
            </w:r>
          </w:p>
          <w:p w:rsidR="00694BC8" w:rsidRPr="003946B1" w:rsidRDefault="00694BC8" w:rsidP="00694BC8">
            <w:pPr>
              <w:pStyle w:val="11"/>
              <w:shd w:val="clear" w:color="auto" w:fill="auto"/>
              <w:spacing w:after="56" w:line="240" w:lineRule="auto"/>
              <w:ind w:left="20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необходимым:</w:t>
            </w:r>
          </w:p>
          <w:p w:rsidR="00694BC8" w:rsidRPr="003946B1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обеспечить представительство органов по аккредитации в НТК по аккредитации;</w:t>
            </w:r>
          </w:p>
          <w:p w:rsidR="00694BC8" w:rsidRPr="003946B1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развивать национальное законодательство в соответствии с международными правилами и стандартами во избежание противоречий в национальных требованиях и с целью региональной гармонизации в сферах аккредитации и оценки соответствия;</w:t>
            </w:r>
          </w:p>
          <w:p w:rsidR="00694BC8" w:rsidRPr="003946B1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обеспечить проведение взаимных оценок органов по аккредитации;</w:t>
            </w:r>
          </w:p>
          <w:p w:rsidR="00694BC8" w:rsidRPr="003946B1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обеспечить выполнение Программы работ Рабочей группы по созданию региональной организации (ассоциации) органов по аккредитации;</w:t>
            </w:r>
          </w:p>
          <w:p w:rsidR="00694BC8" w:rsidRPr="00F52ED4" w:rsidRDefault="00694BC8" w:rsidP="00694BC8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41"/>
              </w:tabs>
              <w:spacing w:after="64"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3946B1">
              <w:rPr>
                <w:sz w:val="20"/>
                <w:szCs w:val="20"/>
              </w:rPr>
              <w:t>создать межгосударственный технический комитет по вопросу разработки стандартов ГОСТ, правил ПМГ и руководств РМГ в сфере аккредитации (в</w:t>
            </w:r>
            <w:r w:rsidRPr="00F52ED4">
              <w:rPr>
                <w:sz w:val="22"/>
                <w:szCs w:val="22"/>
              </w:rPr>
              <w:t xml:space="preserve"> соответствии с ГОСТ 1.2-2015).</w:t>
            </w:r>
          </w:p>
          <w:p w:rsidR="00694BC8" w:rsidRDefault="00694BC8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 w:rsidRPr="00F52ED4">
              <w:rPr>
                <w:sz w:val="22"/>
                <w:szCs w:val="22"/>
              </w:rPr>
              <w:t>При принятии руководителями национальных органов государст</w:t>
            </w:r>
            <w:proofErr w:type="gramStart"/>
            <w:r w:rsidRPr="00F52ED4">
              <w:rPr>
                <w:sz w:val="22"/>
                <w:szCs w:val="22"/>
              </w:rPr>
              <w:t>в-</w:t>
            </w:r>
            <w:proofErr w:type="gramEnd"/>
            <w:r w:rsidRPr="00F52ED4">
              <w:rPr>
                <w:sz w:val="22"/>
                <w:szCs w:val="22"/>
              </w:rPr>
              <w:t xml:space="preserve"> участников Соглашения решения об изменении структуры МГС считаем целесообразным рассмотреть возможность создания в рамках МГС Советов руководителей по все</w:t>
            </w:r>
            <w:r w:rsidR="00E67766">
              <w:rPr>
                <w:sz w:val="22"/>
                <w:szCs w:val="22"/>
              </w:rPr>
              <w:t xml:space="preserve">м направлениям </w:t>
            </w:r>
            <w:r w:rsidR="00E67766">
              <w:rPr>
                <w:sz w:val="22"/>
                <w:szCs w:val="22"/>
              </w:rPr>
              <w:lastRenderedPageBreak/>
              <w:t xml:space="preserve">деятельности МГС, в том числе </w:t>
            </w:r>
            <w:r w:rsidRPr="00F52ED4">
              <w:rPr>
                <w:sz w:val="22"/>
                <w:szCs w:val="22"/>
              </w:rPr>
              <w:t xml:space="preserve">Совета руководителей органов по </w:t>
            </w:r>
            <w:r w:rsidR="00E67766">
              <w:rPr>
                <w:sz w:val="22"/>
                <w:szCs w:val="22"/>
              </w:rPr>
              <w:t xml:space="preserve">аккредитации, в полномочия которого будут входить: </w:t>
            </w:r>
          </w:p>
          <w:p w:rsidR="00E67766" w:rsidRPr="003946B1" w:rsidRDefault="00E67766" w:rsidP="00E67766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</w:tabs>
              <w:spacing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координация практического взаимодействия национальных органов по аккредитации, органов по оценке соответствия и иных заинтересованных сторон по основным аспектам политики в сфере аккредитации;</w:t>
            </w:r>
          </w:p>
          <w:p w:rsidR="00E67766" w:rsidRPr="003946B1" w:rsidRDefault="00E67766" w:rsidP="00E67766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435"/>
              </w:tabs>
              <w:spacing w:after="64" w:line="240" w:lineRule="auto"/>
              <w:ind w:left="20" w:right="20" w:firstLine="700"/>
              <w:jc w:val="both"/>
              <w:rPr>
                <w:sz w:val="20"/>
                <w:szCs w:val="20"/>
              </w:rPr>
            </w:pPr>
            <w:r w:rsidRPr="003946B1">
              <w:rPr>
                <w:sz w:val="20"/>
                <w:szCs w:val="20"/>
              </w:rPr>
              <w:t>содействие реализации принятых межгосударственных и межправительственных решений в сфере аккредитации государств-участников Совета.</w:t>
            </w:r>
          </w:p>
          <w:p w:rsidR="00E67766" w:rsidRDefault="00E67766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Решения Совета руководителей органов по аккредитации должны касаться, в первую очередь, выработки методологии проведения паритетных оценок органов по аккредитации, определении приоритетных направлений в сфере аккредитации, предложений по сближению и гармонизации законодательств государств-членов Совета, признания взаимных оценок органов по аккредитации. При необходимости Совет взаимодействует с НТК по аккредитации и другими НТК МГС по направлениям, затрагивающим сферу деятельности МГС.</w:t>
            </w:r>
          </w:p>
          <w:p w:rsidR="00E67766" w:rsidRDefault="00E67766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Функции рабочего органа МГС по направлению аккредитация выполняются НТК по аккредитации, которая вырабатывает правила и рекомендации (ПМГ, РМГ), направленные на формирование согласованной научно-технической политики и координации работ по всем направлениям аккредитации.</w:t>
            </w:r>
          </w:p>
          <w:p w:rsidR="00E67766" w:rsidRDefault="00E67766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Вопросы, связанные с аккредитацией выносятся на рассмотрение МГС по согласованному решению Совета и НТК по аккредитации.</w:t>
            </w:r>
          </w:p>
          <w:p w:rsidR="00E67766" w:rsidRDefault="00E67766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</w:p>
          <w:p w:rsidR="00E67766" w:rsidRPr="00F52ED4" w:rsidRDefault="00E67766" w:rsidP="00694BC8">
            <w:pPr>
              <w:pStyle w:val="11"/>
              <w:shd w:val="clear" w:color="auto" w:fill="auto"/>
              <w:spacing w:line="240" w:lineRule="auto"/>
              <w:ind w:left="20" w:right="20" w:firstLine="700"/>
              <w:jc w:val="both"/>
              <w:rPr>
                <w:sz w:val="22"/>
                <w:szCs w:val="22"/>
              </w:rPr>
            </w:pPr>
          </w:p>
          <w:p w:rsidR="00E67766" w:rsidRDefault="00E67766" w:rsidP="00E67766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Росаккредитацию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 апреля 2016 г. № 04-10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707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, подписал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В.В. Назаренко)</w:t>
            </w:r>
          </w:p>
          <w:p w:rsidR="00694BC8" w:rsidRPr="001D1047" w:rsidRDefault="00694BC8" w:rsidP="003946B1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45" w:type="dxa"/>
          </w:tcPr>
          <w:p w:rsidR="00721E46" w:rsidRPr="00FB132C" w:rsidRDefault="00721E46" w:rsidP="009A1AC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290" w:rsidRPr="00FB132C" w:rsidTr="003946B1">
        <w:trPr>
          <w:trHeight w:val="5995"/>
        </w:trPr>
        <w:tc>
          <w:tcPr>
            <w:tcW w:w="675" w:type="dxa"/>
          </w:tcPr>
          <w:p w:rsidR="00CB6290" w:rsidRPr="00FB132C" w:rsidRDefault="00721E46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CB6290" w:rsidRPr="00FB1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5" w:type="dxa"/>
          </w:tcPr>
          <w:p w:rsidR="00B22F9E" w:rsidRDefault="00CB6290" w:rsidP="00B22F9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32C">
              <w:rPr>
                <w:rFonts w:ascii="Times New Roman" w:hAnsi="Times New Roman" w:cs="Times New Roman"/>
                <w:sz w:val="28"/>
                <w:szCs w:val="28"/>
              </w:rPr>
              <w:t>Республика</w:t>
            </w:r>
          </w:p>
          <w:p w:rsidR="00CB6290" w:rsidRPr="00FB132C" w:rsidRDefault="00721E46" w:rsidP="00B22F9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Казахстан</w:t>
            </w:r>
          </w:p>
        </w:tc>
        <w:tc>
          <w:tcPr>
            <w:tcW w:w="9148" w:type="dxa"/>
          </w:tcPr>
          <w:p w:rsidR="00721E46" w:rsidRPr="00721E46" w:rsidRDefault="00721E46" w:rsidP="00721E46">
            <w:pPr>
              <w:ind w:firstLine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6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совершенствования организационной структуры МГС, </w:t>
            </w:r>
            <w:r w:rsidR="003946B1">
              <w:rPr>
                <w:rFonts w:ascii="Times New Roman" w:hAnsi="Times New Roman" w:cs="Times New Roman"/>
                <w:sz w:val="24"/>
                <w:szCs w:val="24"/>
              </w:rPr>
              <w:t>НЦА</w:t>
            </w:r>
            <w:r w:rsidRPr="00721E4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предложена следующая позиция.</w:t>
            </w:r>
          </w:p>
          <w:p w:rsidR="00721E46" w:rsidRPr="00721E46" w:rsidRDefault="00721E46" w:rsidP="00721E46">
            <w:pPr>
              <w:ind w:firstLine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6">
              <w:rPr>
                <w:rFonts w:ascii="Times New Roman" w:hAnsi="Times New Roman" w:cs="Times New Roman"/>
                <w:sz w:val="24"/>
                <w:szCs w:val="24"/>
              </w:rPr>
              <w:t>Секретариат МГС определить в непосредственном подчинении Председателю и закрепить функции организационно-технической подготовки заседаний. Создание Бюро по направлениям деятельности, (стандартизации, оценки соответствия, надзору и контролю, аккредитации и метрологии) считаем целесообразным, однако координацию работ Бюро по направлениям деятельности необходимо разделить между заместителями Председателя. Бюро должно является координирующим органом МГС, который будет представлять итоги работы НТК и РГ. (проект предлагаемой структуры МГС прилагается).</w:t>
            </w:r>
          </w:p>
          <w:p w:rsidR="00721E46" w:rsidRDefault="00721E46" w:rsidP="00721E46">
            <w:pPr>
              <w:ind w:firstLine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E46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считаем необходимым наряду с основными направлениями по аккредитации, предлагаемого органа - Бюро по аккредитации также включить деятельность по развитию новых направлений по аккредитации таких, как аккредитация органов по верификации и </w:t>
            </w:r>
            <w:proofErr w:type="spellStart"/>
            <w:r w:rsidRPr="00721E46">
              <w:rPr>
                <w:rFonts w:ascii="Times New Roman" w:hAnsi="Times New Roman" w:cs="Times New Roman"/>
                <w:sz w:val="24"/>
                <w:szCs w:val="24"/>
              </w:rPr>
              <w:t>валидации</w:t>
            </w:r>
            <w:proofErr w:type="spellEnd"/>
            <w:r w:rsidRPr="00721E46">
              <w:rPr>
                <w:rFonts w:ascii="Times New Roman" w:hAnsi="Times New Roman" w:cs="Times New Roman"/>
                <w:sz w:val="24"/>
                <w:szCs w:val="24"/>
              </w:rPr>
              <w:t xml:space="preserve"> парниковых</w:t>
            </w:r>
            <w:r w:rsidR="003946B1">
              <w:rPr>
                <w:rFonts w:ascii="Times New Roman" w:hAnsi="Times New Roman" w:cs="Times New Roman"/>
                <w:sz w:val="24"/>
                <w:szCs w:val="24"/>
              </w:rPr>
              <w:t xml:space="preserve"> газов, органов по сертификации органической продукции, продукции, содержащей ГМО, хала продукции, медицинских лабораторий, провайдеров, органов по инспекции.</w:t>
            </w:r>
          </w:p>
          <w:p w:rsidR="00721E46" w:rsidRDefault="003946B1" w:rsidP="003946B1">
            <w:pPr>
              <w:ind w:firstLine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вопросу финансирования, считаем целесообразным оставить размер членских взносов на таком же уровне (14 000 долларов США).</w:t>
            </w:r>
          </w:p>
          <w:p w:rsidR="00E67766" w:rsidRPr="003946B1" w:rsidRDefault="00E67766" w:rsidP="003946B1">
            <w:pPr>
              <w:ind w:firstLine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047" w:rsidRPr="001D1047" w:rsidRDefault="00CB6290" w:rsidP="003946B1">
            <w:pPr>
              <w:spacing w:line="276" w:lineRule="auto"/>
              <w:ind w:firstLine="53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на имя С.В. Шипова от ТОО «Национальный центр </w:t>
            </w:r>
            <w:proofErr w:type="spellStart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аккредитацаии</w:t>
            </w:r>
            <w:proofErr w:type="spellEnd"/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Республики Казахстан от </w:t>
            </w:r>
            <w:r w:rsidR="00721E4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21E46">
              <w:rPr>
                <w:rFonts w:ascii="Times New Roman" w:hAnsi="Times New Roman" w:cs="Times New Roman"/>
                <w:i/>
                <w:sz w:val="24"/>
                <w:szCs w:val="24"/>
              </w:rPr>
              <w:t>апреля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2016 г. № 21-01-10-4/16-0</w:t>
            </w:r>
            <w:r w:rsidR="00721E4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/08</w:t>
            </w:r>
            <w:r w:rsidR="00721E4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721E46">
              <w:rPr>
                <w:rFonts w:ascii="Times New Roman" w:hAnsi="Times New Roman" w:cs="Times New Roman"/>
                <w:i/>
                <w:sz w:val="24"/>
                <w:szCs w:val="24"/>
              </w:rPr>
              <w:t>86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, подписал</w:t>
            </w:r>
            <w:r w:rsidR="00056F6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С. Курмангалиев</w:t>
            </w:r>
            <w:r w:rsidR="009624A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45" w:type="dxa"/>
          </w:tcPr>
          <w:p w:rsidR="00CB6290" w:rsidRPr="00FB132C" w:rsidRDefault="00CB6290" w:rsidP="00C9455F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6B1" w:rsidRPr="00FB132C" w:rsidTr="00056F6A">
        <w:tc>
          <w:tcPr>
            <w:tcW w:w="675" w:type="dxa"/>
          </w:tcPr>
          <w:p w:rsidR="003946B1" w:rsidRDefault="003946B1" w:rsidP="00C945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85" w:type="dxa"/>
          </w:tcPr>
          <w:p w:rsidR="003946B1" w:rsidRPr="00FB132C" w:rsidRDefault="003946B1" w:rsidP="003946B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Кыргызская Республика</w:t>
            </w:r>
          </w:p>
        </w:tc>
        <w:tc>
          <w:tcPr>
            <w:tcW w:w="9148" w:type="dxa"/>
          </w:tcPr>
          <w:p w:rsidR="003946B1" w:rsidRDefault="003946B1" w:rsidP="00721E46">
            <w:pPr>
              <w:ind w:firstLine="535"/>
              <w:jc w:val="both"/>
              <w:rPr>
                <w:rFonts w:ascii="Times New Roman" w:hAnsi="Times New Roman" w:cs="Times New Roman"/>
              </w:rPr>
            </w:pPr>
            <w:r w:rsidRPr="003946B1">
              <w:rPr>
                <w:rFonts w:ascii="Times New Roman" w:hAnsi="Times New Roman" w:cs="Times New Roman"/>
              </w:rPr>
              <w:t>По п.1.5.2 2-го ВС МГС: предложений по совершенствованию структуры, механизмов работы и финансирования не имеет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67766" w:rsidRDefault="00E67766" w:rsidP="00721E46">
            <w:pPr>
              <w:ind w:firstLine="535"/>
              <w:jc w:val="both"/>
              <w:rPr>
                <w:rFonts w:ascii="Times New Roman" w:hAnsi="Times New Roman" w:cs="Times New Roman"/>
              </w:rPr>
            </w:pPr>
          </w:p>
          <w:p w:rsidR="003946B1" w:rsidRPr="003946B1" w:rsidRDefault="003946B1" w:rsidP="00FF07A0">
            <w:pPr>
              <w:ind w:firstLine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(Письмо в </w:t>
            </w:r>
            <w:r w:rsidR="00E67766">
              <w:rPr>
                <w:rFonts w:ascii="Times New Roman" w:hAnsi="Times New Roman" w:cs="Times New Roman"/>
                <w:i/>
                <w:sz w:val="24"/>
                <w:szCs w:val="24"/>
              </w:rPr>
              <w:t>Росаккредитацию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Кыргызского центра аккредитации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Министерства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экономики Кыргызской Республики 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</w:t>
            </w:r>
            <w:r w:rsidR="00FF07A0">
              <w:rPr>
                <w:rFonts w:ascii="Times New Roman" w:hAnsi="Times New Roman" w:cs="Times New Roman"/>
                <w:i/>
                <w:sz w:val="24"/>
                <w:szCs w:val="24"/>
              </w:rPr>
              <w:t>2 июня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2016 г.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01-11</w:t>
            </w:r>
            <w:r w:rsidR="00FF07A0">
              <w:rPr>
                <w:rFonts w:ascii="Times New Roman" w:hAnsi="Times New Roman" w:cs="Times New Roman"/>
                <w:i/>
                <w:sz w:val="24"/>
                <w:szCs w:val="24"/>
              </w:rPr>
              <w:t>-475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FB132C">
              <w:rPr>
                <w:rFonts w:ascii="Times New Roman" w:hAnsi="Times New Roman" w:cs="Times New Roman"/>
                <w:i/>
                <w:sz w:val="24"/>
                <w:szCs w:val="24"/>
              </w:rPr>
              <w:t>подписал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Ж. Чапаев)</w:t>
            </w:r>
          </w:p>
        </w:tc>
        <w:tc>
          <w:tcPr>
            <w:tcW w:w="2345" w:type="dxa"/>
          </w:tcPr>
          <w:p w:rsidR="003946B1" w:rsidRPr="00FB132C" w:rsidRDefault="003946B1" w:rsidP="00C9455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02E" w:rsidRDefault="004F702E" w:rsidP="00C9455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4F702E" w:rsidSect="00744DF3">
      <w:headerReference w:type="default" r:id="rId9"/>
      <w:footerReference w:type="default" r:id="rId10"/>
      <w:headerReference w:type="first" r:id="rId11"/>
      <w:pgSz w:w="16838" w:h="11906" w:orient="landscape"/>
      <w:pgMar w:top="709" w:right="567" w:bottom="709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9B" w:rsidRDefault="007A2B9B" w:rsidP="00974107">
      <w:pPr>
        <w:spacing w:after="0" w:line="240" w:lineRule="auto"/>
      </w:pPr>
      <w:r>
        <w:separator/>
      </w:r>
    </w:p>
  </w:endnote>
  <w:endnote w:type="continuationSeparator" w:id="0">
    <w:p w:rsidR="007A2B9B" w:rsidRDefault="007A2B9B" w:rsidP="0097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CD5" w:rsidRDefault="00CF4CD5" w:rsidP="00CF4CD5">
    <w:pPr>
      <w:pStyle w:val="a6"/>
    </w:pPr>
    <w:r>
      <w:t>Приложение № 10</w:t>
    </w:r>
    <w:r w:rsidR="00773993">
      <w:t>-2</w:t>
    </w:r>
    <w:r>
      <w:t xml:space="preserve"> к протоколу МГС № 49-2016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9B" w:rsidRDefault="007A2B9B" w:rsidP="00974107">
      <w:pPr>
        <w:spacing w:after="0" w:line="240" w:lineRule="auto"/>
      </w:pPr>
      <w:r>
        <w:separator/>
      </w:r>
    </w:p>
  </w:footnote>
  <w:footnote w:type="continuationSeparator" w:id="0">
    <w:p w:rsidR="007A2B9B" w:rsidRDefault="007A2B9B" w:rsidP="00974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869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4107" w:rsidRPr="00974107" w:rsidRDefault="0097410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41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41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41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6748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9741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4107" w:rsidRDefault="009741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ED" w:rsidRPr="00EA3CED" w:rsidRDefault="00EA3CED" w:rsidP="00EA3CED">
    <w:pPr>
      <w:pStyle w:val="a4"/>
      <w:ind w:firstLine="10206"/>
      <w:rPr>
        <w:rFonts w:ascii="Arial" w:hAnsi="Arial" w:cs="Arial"/>
        <w:sz w:val="20"/>
        <w:szCs w:val="20"/>
      </w:rPr>
    </w:pPr>
    <w:r w:rsidRPr="00EA3CED">
      <w:rPr>
        <w:rFonts w:ascii="Arial" w:hAnsi="Arial" w:cs="Arial"/>
        <w:sz w:val="20"/>
        <w:szCs w:val="20"/>
      </w:rPr>
      <w:t>Приложение № 10</w:t>
    </w:r>
    <w:r w:rsidR="00353C9F">
      <w:rPr>
        <w:rFonts w:ascii="Arial" w:hAnsi="Arial" w:cs="Arial"/>
        <w:sz w:val="20"/>
        <w:szCs w:val="20"/>
      </w:rPr>
      <w:t>-2</w:t>
    </w:r>
    <w:r w:rsidRPr="00EA3CED">
      <w:rPr>
        <w:rFonts w:ascii="Arial" w:hAnsi="Arial" w:cs="Arial"/>
        <w:sz w:val="20"/>
        <w:szCs w:val="20"/>
      </w:rPr>
      <w:t xml:space="preserve"> к протоколу</w:t>
    </w:r>
  </w:p>
  <w:p w:rsidR="00EA3CED" w:rsidRPr="00EA3CED" w:rsidRDefault="00EA3CED" w:rsidP="00EA3CED">
    <w:pPr>
      <w:pStyle w:val="a4"/>
      <w:ind w:firstLine="10206"/>
      <w:rPr>
        <w:rFonts w:ascii="Arial" w:hAnsi="Arial" w:cs="Arial"/>
        <w:sz w:val="20"/>
        <w:szCs w:val="20"/>
      </w:rPr>
    </w:pPr>
    <w:r w:rsidRPr="00EA3CED">
      <w:rPr>
        <w:rFonts w:ascii="Arial" w:hAnsi="Arial" w:cs="Arial"/>
        <w:sz w:val="20"/>
        <w:szCs w:val="20"/>
      </w:rPr>
      <w:t>МГС № 49-2016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F35"/>
    <w:multiLevelType w:val="hybridMultilevel"/>
    <w:tmpl w:val="8C4A6F4E"/>
    <w:lvl w:ilvl="0" w:tplc="B214267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82D40"/>
    <w:multiLevelType w:val="multilevel"/>
    <w:tmpl w:val="3828C9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90"/>
    <w:rsid w:val="000111B2"/>
    <w:rsid w:val="00052091"/>
    <w:rsid w:val="00056F6A"/>
    <w:rsid w:val="0008005F"/>
    <w:rsid w:val="00111F49"/>
    <w:rsid w:val="001259FD"/>
    <w:rsid w:val="00166A43"/>
    <w:rsid w:val="001702FB"/>
    <w:rsid w:val="001D1047"/>
    <w:rsid w:val="00220BB1"/>
    <w:rsid w:val="00265A58"/>
    <w:rsid w:val="002742AC"/>
    <w:rsid w:val="002D7208"/>
    <w:rsid w:val="002F1D17"/>
    <w:rsid w:val="002F46EB"/>
    <w:rsid w:val="003500EA"/>
    <w:rsid w:val="00353C9F"/>
    <w:rsid w:val="003946B1"/>
    <w:rsid w:val="003959D6"/>
    <w:rsid w:val="00455D25"/>
    <w:rsid w:val="004A2BE9"/>
    <w:rsid w:val="004C0567"/>
    <w:rsid w:val="004F4A70"/>
    <w:rsid w:val="004F702E"/>
    <w:rsid w:val="005273B3"/>
    <w:rsid w:val="0054593B"/>
    <w:rsid w:val="005525E3"/>
    <w:rsid w:val="005D7A8A"/>
    <w:rsid w:val="00603223"/>
    <w:rsid w:val="00615AB6"/>
    <w:rsid w:val="00620980"/>
    <w:rsid w:val="0064035E"/>
    <w:rsid w:val="006763F7"/>
    <w:rsid w:val="00694BC8"/>
    <w:rsid w:val="006A2717"/>
    <w:rsid w:val="007122E6"/>
    <w:rsid w:val="00721E46"/>
    <w:rsid w:val="00737780"/>
    <w:rsid w:val="00744DF3"/>
    <w:rsid w:val="00773993"/>
    <w:rsid w:val="007A2B9B"/>
    <w:rsid w:val="007A54E4"/>
    <w:rsid w:val="007A77F4"/>
    <w:rsid w:val="008019A4"/>
    <w:rsid w:val="008137BC"/>
    <w:rsid w:val="00895031"/>
    <w:rsid w:val="008D654E"/>
    <w:rsid w:val="008E0430"/>
    <w:rsid w:val="009229B1"/>
    <w:rsid w:val="00941387"/>
    <w:rsid w:val="009624A1"/>
    <w:rsid w:val="00971055"/>
    <w:rsid w:val="00974107"/>
    <w:rsid w:val="009911EF"/>
    <w:rsid w:val="009E6B45"/>
    <w:rsid w:val="00A25310"/>
    <w:rsid w:val="00A626A9"/>
    <w:rsid w:val="00AA7626"/>
    <w:rsid w:val="00AF0980"/>
    <w:rsid w:val="00B22F9E"/>
    <w:rsid w:val="00B25E1A"/>
    <w:rsid w:val="00B51D14"/>
    <w:rsid w:val="00C11FBF"/>
    <w:rsid w:val="00C9455F"/>
    <w:rsid w:val="00C9501F"/>
    <w:rsid w:val="00CB6290"/>
    <w:rsid w:val="00CE6E5B"/>
    <w:rsid w:val="00CF4CD5"/>
    <w:rsid w:val="00D7125F"/>
    <w:rsid w:val="00D944AA"/>
    <w:rsid w:val="00DE6604"/>
    <w:rsid w:val="00DF22D4"/>
    <w:rsid w:val="00DF6748"/>
    <w:rsid w:val="00E10831"/>
    <w:rsid w:val="00E27BDD"/>
    <w:rsid w:val="00E359A2"/>
    <w:rsid w:val="00E4773F"/>
    <w:rsid w:val="00E67766"/>
    <w:rsid w:val="00EA3CED"/>
    <w:rsid w:val="00EE59E1"/>
    <w:rsid w:val="00EF5258"/>
    <w:rsid w:val="00F216DA"/>
    <w:rsid w:val="00F52ED4"/>
    <w:rsid w:val="00F8555C"/>
    <w:rsid w:val="00FB132C"/>
    <w:rsid w:val="00FB1B9D"/>
    <w:rsid w:val="00FC642D"/>
    <w:rsid w:val="00FE295C"/>
    <w:rsid w:val="00F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90"/>
  </w:style>
  <w:style w:type="paragraph" w:styleId="1">
    <w:name w:val="heading 1"/>
    <w:basedOn w:val="a"/>
    <w:next w:val="a"/>
    <w:link w:val="10"/>
    <w:uiPriority w:val="9"/>
    <w:qFormat/>
    <w:rsid w:val="00EA3C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"/>
    <w:basedOn w:val="a0"/>
    <w:rsid w:val="00CB62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4">
    <w:name w:val="header"/>
    <w:basedOn w:val="a"/>
    <w:link w:val="a5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107"/>
  </w:style>
  <w:style w:type="paragraph" w:styleId="a6">
    <w:name w:val="footer"/>
    <w:basedOn w:val="a"/>
    <w:link w:val="a7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107"/>
  </w:style>
  <w:style w:type="paragraph" w:styleId="a8">
    <w:name w:val="Balloon Text"/>
    <w:basedOn w:val="a"/>
    <w:link w:val="a9"/>
    <w:uiPriority w:val="99"/>
    <w:semiHidden/>
    <w:unhideWhenUsed/>
    <w:rsid w:val="0027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42A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702E"/>
    <w:pPr>
      <w:ind w:left="720"/>
      <w:contextualSpacing/>
    </w:pPr>
  </w:style>
  <w:style w:type="character" w:customStyle="1" w:styleId="Bodytext">
    <w:name w:val="Body text_"/>
    <w:basedOn w:val="a0"/>
    <w:link w:val="11"/>
    <w:rsid w:val="00F52ED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F52ED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Italic">
    <w:name w:val="Body text + Italic"/>
    <w:basedOn w:val="Bodytext"/>
    <w:rsid w:val="00F52E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Bodytext6">
    <w:name w:val="Body text (6)_"/>
    <w:basedOn w:val="a0"/>
    <w:link w:val="Bodytext60"/>
    <w:rsid w:val="00F52ED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Bodytext6NotItalic">
    <w:name w:val="Body text (6) + Not Italic"/>
    <w:basedOn w:val="Bodytext6"/>
    <w:rsid w:val="00F52E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Bodytext60">
    <w:name w:val="Body text (6)"/>
    <w:basedOn w:val="a"/>
    <w:link w:val="Bodytext6"/>
    <w:rsid w:val="00F52ED4"/>
    <w:pPr>
      <w:widowControl w:val="0"/>
      <w:shd w:val="clear" w:color="auto" w:fill="FFFFFF"/>
      <w:spacing w:after="60" w:line="322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Bodytext11">
    <w:name w:val="Body text (11)_"/>
    <w:basedOn w:val="a0"/>
    <w:rsid w:val="00721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Bodytext11ItalicSpacing0pt">
    <w:name w:val="Body text (11) + Italic;Spacing 0 pt"/>
    <w:basedOn w:val="Bodytext11"/>
    <w:rsid w:val="00721E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lang w:val="ru-RU"/>
    </w:rPr>
  </w:style>
  <w:style w:type="character" w:customStyle="1" w:styleId="Bodytext110">
    <w:name w:val="Body text (11)"/>
    <w:basedOn w:val="Bodytext11"/>
    <w:rsid w:val="00721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0">
    <w:name w:val="Заголовок 1 Знак"/>
    <w:basedOn w:val="a0"/>
    <w:link w:val="1"/>
    <w:uiPriority w:val="9"/>
    <w:rsid w:val="00EA3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90"/>
  </w:style>
  <w:style w:type="paragraph" w:styleId="1">
    <w:name w:val="heading 1"/>
    <w:basedOn w:val="a"/>
    <w:next w:val="a"/>
    <w:link w:val="10"/>
    <w:uiPriority w:val="9"/>
    <w:qFormat/>
    <w:rsid w:val="00EA3C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"/>
    <w:basedOn w:val="a0"/>
    <w:rsid w:val="00CB62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4">
    <w:name w:val="header"/>
    <w:basedOn w:val="a"/>
    <w:link w:val="a5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107"/>
  </w:style>
  <w:style w:type="paragraph" w:styleId="a6">
    <w:name w:val="footer"/>
    <w:basedOn w:val="a"/>
    <w:link w:val="a7"/>
    <w:uiPriority w:val="99"/>
    <w:unhideWhenUsed/>
    <w:rsid w:val="0097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107"/>
  </w:style>
  <w:style w:type="paragraph" w:styleId="a8">
    <w:name w:val="Balloon Text"/>
    <w:basedOn w:val="a"/>
    <w:link w:val="a9"/>
    <w:uiPriority w:val="99"/>
    <w:semiHidden/>
    <w:unhideWhenUsed/>
    <w:rsid w:val="0027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42A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702E"/>
    <w:pPr>
      <w:ind w:left="720"/>
      <w:contextualSpacing/>
    </w:pPr>
  </w:style>
  <w:style w:type="character" w:customStyle="1" w:styleId="Bodytext">
    <w:name w:val="Body text_"/>
    <w:basedOn w:val="a0"/>
    <w:link w:val="11"/>
    <w:rsid w:val="00F52ED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F52ED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Italic">
    <w:name w:val="Body text + Italic"/>
    <w:basedOn w:val="Bodytext"/>
    <w:rsid w:val="00F52E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Bodytext6">
    <w:name w:val="Body text (6)_"/>
    <w:basedOn w:val="a0"/>
    <w:link w:val="Bodytext60"/>
    <w:rsid w:val="00F52ED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Bodytext6NotItalic">
    <w:name w:val="Body text (6) + Not Italic"/>
    <w:basedOn w:val="Bodytext6"/>
    <w:rsid w:val="00F52E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Bodytext60">
    <w:name w:val="Body text (6)"/>
    <w:basedOn w:val="a"/>
    <w:link w:val="Bodytext6"/>
    <w:rsid w:val="00F52ED4"/>
    <w:pPr>
      <w:widowControl w:val="0"/>
      <w:shd w:val="clear" w:color="auto" w:fill="FFFFFF"/>
      <w:spacing w:after="60" w:line="322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Bodytext11">
    <w:name w:val="Body text (11)_"/>
    <w:basedOn w:val="a0"/>
    <w:rsid w:val="00721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Bodytext11ItalicSpacing0pt">
    <w:name w:val="Body text (11) + Italic;Spacing 0 pt"/>
    <w:basedOn w:val="Bodytext11"/>
    <w:rsid w:val="00721E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lang w:val="ru-RU"/>
    </w:rPr>
  </w:style>
  <w:style w:type="character" w:customStyle="1" w:styleId="Bodytext110">
    <w:name w:val="Body text (11)"/>
    <w:basedOn w:val="Bodytext11"/>
    <w:rsid w:val="00721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0">
    <w:name w:val="Заголовок 1 Знак"/>
    <w:basedOn w:val="a0"/>
    <w:link w:val="1"/>
    <w:uiPriority w:val="9"/>
    <w:rsid w:val="00EA3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0C17-8F78-4CF1-89CA-893B9320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4431</TotalTime>
  <Pages>6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Анна Анатольевна</dc:creator>
  <cp:lastModifiedBy>client801_11</cp:lastModifiedBy>
  <cp:revision>57</cp:revision>
  <cp:lastPrinted>2016-04-22T08:28:00Z</cp:lastPrinted>
  <dcterms:created xsi:type="dcterms:W3CDTF">2016-02-29T14:40:00Z</dcterms:created>
  <dcterms:modified xsi:type="dcterms:W3CDTF">2016-06-24T11:28:00Z</dcterms:modified>
</cp:coreProperties>
</file>